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2427B0" w:rsidRDefault="000335CA" w:rsidP="000335CA">
      <w:pPr>
        <w:pStyle w:val="pc"/>
        <w:rPr>
          <w:color w:val="auto"/>
        </w:rPr>
      </w:pPr>
      <w:r w:rsidRPr="002427B0">
        <w:rPr>
          <w:rStyle w:val="s1"/>
          <w:color w:val="auto"/>
        </w:rPr>
        <w:t xml:space="preserve">Объявление </w:t>
      </w:r>
      <w:r w:rsidRPr="002427B0">
        <w:rPr>
          <w:b/>
          <w:color w:val="auto"/>
        </w:rPr>
        <w:t>№</w:t>
      </w:r>
      <w:r w:rsidR="00405581">
        <w:rPr>
          <w:b/>
          <w:color w:val="auto"/>
        </w:rPr>
        <w:t>37</w:t>
      </w:r>
      <w:r w:rsidR="002427B0" w:rsidRPr="002427B0">
        <w:rPr>
          <w:b/>
          <w:color w:val="auto"/>
        </w:rPr>
        <w:t xml:space="preserve"> </w:t>
      </w:r>
      <w:r w:rsidRPr="002427B0">
        <w:rPr>
          <w:b/>
          <w:color w:val="auto"/>
        </w:rPr>
        <w:t xml:space="preserve"> от </w:t>
      </w:r>
      <w:r w:rsidR="00405581">
        <w:rPr>
          <w:b/>
          <w:color w:val="auto"/>
        </w:rPr>
        <w:t>18.12</w:t>
      </w:r>
      <w:r w:rsidR="00044A4B" w:rsidRPr="002427B0">
        <w:rPr>
          <w:b/>
          <w:color w:val="auto"/>
        </w:rPr>
        <w:t>.2024</w:t>
      </w:r>
      <w:r w:rsidRPr="002427B0">
        <w:rPr>
          <w:b/>
          <w:color w:val="auto"/>
        </w:rPr>
        <w:t xml:space="preserve">  года</w:t>
      </w:r>
      <w:r w:rsidRPr="002427B0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2427B0" w:rsidRDefault="000335CA" w:rsidP="000335CA">
      <w:pPr>
        <w:pStyle w:val="pj"/>
        <w:rPr>
          <w:color w:val="auto"/>
        </w:rPr>
      </w:pPr>
      <w:r w:rsidRPr="002427B0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2427B0">
        <w:rPr>
          <w:b/>
          <w:color w:val="auto"/>
        </w:rPr>
        <w:t>Наименование и адрес заказчика или организатора закупа:</w:t>
      </w:r>
      <w:r w:rsidR="00B9461B" w:rsidRPr="002427B0">
        <w:rPr>
          <w:b/>
          <w:color w:val="auto"/>
        </w:rPr>
        <w:t xml:space="preserve"> </w:t>
      </w:r>
      <w:r w:rsidRPr="002427B0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2427B0">
        <w:rPr>
          <w:color w:val="auto"/>
          <w:shd w:val="clear" w:color="auto" w:fill="FFFFFF"/>
        </w:rPr>
        <w:t xml:space="preserve">области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iCs/>
          <w:color w:val="auto"/>
        </w:rPr>
        <w:t xml:space="preserve">», РК, </w:t>
      </w:r>
      <w:r w:rsidRPr="002427B0">
        <w:rPr>
          <w:color w:val="auto"/>
          <w:shd w:val="clear" w:color="auto" w:fill="FFFFFF"/>
        </w:rPr>
        <w:t xml:space="preserve">область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color w:val="auto"/>
          <w:shd w:val="clear" w:color="auto" w:fill="FFFFFF"/>
        </w:rPr>
        <w:t xml:space="preserve">, </w:t>
      </w:r>
      <w:proofErr w:type="spellStart"/>
      <w:r w:rsidRPr="002427B0">
        <w:rPr>
          <w:color w:val="auto"/>
        </w:rPr>
        <w:t>г</w:t>
      </w:r>
      <w:proofErr w:type="gramStart"/>
      <w:r w:rsidRPr="002427B0">
        <w:rPr>
          <w:color w:val="auto"/>
        </w:rPr>
        <w:t>.Т</w:t>
      </w:r>
      <w:proofErr w:type="gramEnd"/>
      <w:r w:rsidRPr="002427B0">
        <w:rPr>
          <w:color w:val="auto"/>
        </w:rPr>
        <w:t>алдыкорган</w:t>
      </w:r>
      <w:proofErr w:type="spellEnd"/>
      <w:r w:rsidRPr="002427B0">
        <w:rPr>
          <w:color w:val="auto"/>
        </w:rPr>
        <w:t xml:space="preserve">, </w:t>
      </w:r>
      <w:proofErr w:type="spellStart"/>
      <w:r w:rsidRPr="002427B0">
        <w:rPr>
          <w:color w:val="auto"/>
        </w:rPr>
        <w:t>ул.Ескельды</w:t>
      </w:r>
      <w:proofErr w:type="spellEnd"/>
      <w:r w:rsidRPr="002427B0">
        <w:rPr>
          <w:color w:val="auto"/>
        </w:rPr>
        <w:t xml:space="preserve"> би</w:t>
      </w:r>
      <w:r w:rsidRPr="004C1E82">
        <w:rPr>
          <w:color w:val="auto"/>
        </w:rPr>
        <w:t>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10" w:type="dxa"/>
        <w:tblLayout w:type="fixed"/>
        <w:tblLook w:val="04A0"/>
      </w:tblPr>
      <w:tblGrid>
        <w:gridCol w:w="457"/>
        <w:gridCol w:w="3365"/>
        <w:gridCol w:w="5784"/>
        <w:gridCol w:w="1276"/>
        <w:gridCol w:w="851"/>
        <w:gridCol w:w="1417"/>
        <w:gridCol w:w="1560"/>
      </w:tblGrid>
      <w:tr w:rsidR="00891059" w:rsidRPr="00EC64E6" w:rsidTr="00013C79">
        <w:tc>
          <w:tcPr>
            <w:tcW w:w="457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84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417" w:type="dxa"/>
          </w:tcPr>
          <w:p w:rsidR="00891059" w:rsidRPr="00AC3A3E" w:rsidRDefault="00151FBF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67443F" w:rsidRPr="00EC64E6" w:rsidTr="0067443F">
        <w:tc>
          <w:tcPr>
            <w:tcW w:w="457" w:type="dxa"/>
            <w:shd w:val="clear" w:color="auto" w:fill="auto"/>
          </w:tcPr>
          <w:p w:rsidR="0067443F" w:rsidRPr="0067443F" w:rsidRDefault="0067443F" w:rsidP="006744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7443F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365" w:type="dxa"/>
            <w:shd w:val="clear" w:color="auto" w:fill="FFFFFF" w:themeFill="background1"/>
          </w:tcPr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05581">
              <w:rPr>
                <w:rFonts w:ascii="Times New Roman" w:hAnsi="Times New Roman" w:cs="Times New Roman"/>
              </w:rPr>
              <w:t>Кардиовертер-дефибриллятор</w:t>
            </w:r>
            <w:proofErr w:type="spellEnd"/>
            <w:r w:rsidRPr="00405581">
              <w:rPr>
                <w:rFonts w:ascii="Times New Roman" w:hAnsi="Times New Roman" w:cs="Times New Roman"/>
              </w:rPr>
              <w:t xml:space="preserve"> имплантируемый </w:t>
            </w:r>
            <w:proofErr w:type="spellStart"/>
            <w:r w:rsidRPr="00405581">
              <w:rPr>
                <w:rFonts w:ascii="Times New Roman" w:hAnsi="Times New Roman" w:cs="Times New Roman"/>
              </w:rPr>
              <w:t>трехкамерный</w:t>
            </w:r>
            <w:proofErr w:type="spellEnd"/>
          </w:p>
          <w:p w:rsidR="0067443F" w:rsidRPr="00405581" w:rsidRDefault="0067443F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4" w:type="dxa"/>
            <w:shd w:val="clear" w:color="auto" w:fill="auto"/>
          </w:tcPr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МРТ-совместимый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трёхкамерный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имплантируемый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кардиовертер-дефибриллятор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. Три зоны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аритмий: ЖТ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, ЖТ2, ФЖ. Критерии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: Внезапное начало; Стабильность; Интервал сцепления; Алгоритм математической и морфологической дискриминации; Критерий устойчивой ЖТ. Зона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ЖТ: для ЖТ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Выкл</w:t>
            </w:r>
            <w:proofErr w:type="spellEnd"/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, от 100 до 222 уд/мин; Для ЖТ2: </w:t>
            </w:r>
            <w:proofErr w:type="spellStart"/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Выкл</w:t>
            </w:r>
            <w:proofErr w:type="spellEnd"/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; от 120 до 222 уд/мин. Количество комплексов при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: для ЖТ1 от 10 до 100; для ЖТ2 от 10 до 80; для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редетекции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для ЖТ1 </w:t>
            </w:r>
            <w:r w:rsidRPr="00405581">
              <w:rPr>
                <w:rFonts w:ascii="Times New Roman" w:hAnsi="Times New Roman" w:cs="Times New Roman"/>
                <w:color w:val="000000"/>
              </w:rPr>
              <w:lastRenderedPageBreak/>
              <w:t xml:space="preserve">от 10 до 50; для ЖТ2 от 10 до 40. Внезапное начало: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ВЫКЛ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; от 4 до 32 %. Критерий стабильности: если SMART = ВЫКЛ: ВЫКЛ; ± 8 … (4) … ±48%. Если SMART = ВКЛ: ±8 … (4) … ±48%. Устойчивая ЖТ - ВЫКЛ, от 1 до 3 мин, шаг 1 мин; 3 мин; 5 мин; далее от 10 до 30 мин, с шагом 10 мин; Алгоритм морфологической дискриминации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наджелудочковых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и желудочковых форм нарушений ритма сердца с возможностью настройки порогов для более точной и корректной дискриминации. Зона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ФЖ: </w:t>
            </w:r>
            <w:proofErr w:type="spellStart"/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Выкл</w:t>
            </w:r>
            <w:proofErr w:type="spellEnd"/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, от 150 до 250 уд/мин. Счетчик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ФЖ: 6 из 8; 8 из 12; 10 из 14; 12 из 16; 16 из 20; 18 из 24; 20 из 26; 22 из 30; 24 из 30; 30 из 40. Счетчик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редетекции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ФЖ: 6 из 8; 8 из 12; 10 из 14; 12 из 16; 16 из 20; 18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 24; 20 из 26; 22 из 30; 24 из 30; 30 из 40. Виды терапии: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Антитахистимуляция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(АТС),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Кардиоверсия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Дефибрилляция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. АТС: Пачка импульсов, пачка импульсов с уменьшением интервала между стимулами. Количество попыток АТС от 1 до 10, шаг не более 1. Количество стимулов в пачке от 1 до 15, шаг не более 1. Возможность автоматического добавления стимула в каждой последующей пачке: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ВЫКЛ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, ВКЛ. Интервал сцепления первого стимула со спонтанным комплексом: от 70 до 95%, шаг не более 5. Оптимизация АТС для наиболее быстрой и эффективной терапии. Энергия разряда при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кардиоверсии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дефибрилляции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от 2 до 40 Дж. Для одного приступа ЖТ или ФЖ максимальное количество разрядов не менее 8. Полярность разряда: Возможность инверсии полярности разряда для снижения порога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дефибрилляции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; Форма разряда: Двухфазный – возможность изменения длительности и процента соотношения фаз (минимум два варианта). Возможность выбора из трех вариантов направления шокового разряда. Встроенные алгоритмы защиты от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постстимуляционногооверсенсинга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Т-волны. Наличие немедленной передачи данных о зафиксированном аппаратом событии в полностью автоматическом режиме без участия пациента по системе удаленного мониторинга.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Режимы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брадитерапии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: Выкл.; DDDR-ADIR; DDDR; DDIR; VVIR; AAIR; D00; DDD-ADI; DDD; DDI; VVI; AAI; V00; VDDR; VDIR; VDD; VDI. Значение базовой </w:t>
            </w:r>
            <w:r w:rsidRPr="00405581">
              <w:rPr>
                <w:rFonts w:ascii="Times New Roman" w:hAnsi="Times New Roman" w:cs="Times New Roman"/>
                <w:color w:val="000000"/>
              </w:rPr>
              <w:lastRenderedPageBreak/>
              <w:t xml:space="preserve">частоты в диапазоне, но не уже чем от 30 до 160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имп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/мин. Значение амплитуды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стимуляционного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импульса (по всем каналам) в диапазоне, но не уже чем от 0,5 до 7,5 В. Значение длительности импульса (по всем каналам) в диапазоне, но не уже чем от 0,4 до 1,5 мс. Наличие функция автоматического контроля захвата с оценкой эффективности стимуляции (по всем каналам)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передачей информации по системе удаленного мониторинга. Наличие частотного гистерезиса: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динамический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, повторный, сканирующий. Значение предсердно-желудочковой задержки: 15; от 40 до 350 мс.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Динамическая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АВ-задержка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, отдельно программируемая для различных частотных диапазонов, и раздельно программируется для спонтанных и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стимуляционных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событий. Наличие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АВ-гистерезиса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положительный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, повторный, сканирующий и отрицательный (для обеспечения постоянной желудочковой стимуляции). 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Алгоритм автоматизированного поиска рекомендуемого значения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АВ-задержки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на основе измерения длительности P-волны.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Программирование ночного ритма стимуляции. Возможность программирования значения VV-задержки в диапазоне от 0 до 100 мс после стимулируемого желудочкового события, возможность выбора ведущей и ведомой камеры (правый или левый желудочек).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Наличии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 функции для тестирования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ЛЖ-электрода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, для упрощения выборы оптимального вектора стимуляции. Возможность автоматической записи внутрисердечных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электрограмм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(ВЭГМ) в память ИКД: не менее 3-х эпизодов по 56 мин.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Беспроводная телеметрия, основанная на энергосберегающем алгоритме передачи данных. 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МРТ-совместимость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без зон ограничения сканирования (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Full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Scan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) при условии использования в комбинации с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МРТ-совместимыми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электродами, а также соблюдении требуемых производителем условий проведения исследования. 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Стандарт разъема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дефибриллирующего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электрода: DF-1. 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Поддержка системы мобильного удалённого мониторинга пациента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ежедневной беспроводной передачей всей статистической информации и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внутрисердечных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lastRenderedPageBreak/>
              <w:t>электрограмм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по сети сотовой связи в полностью автоматическом режиме без участия пациента на ежедневной основе. </w:t>
            </w:r>
          </w:p>
          <w:p w:rsidR="00405581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Возможность сохранения до трех индивидуальных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предустановок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параметров перманентной программы устройства с наличием функции быстрого переключения между ними; планирование расписания проведений плановых автоматических осмотров с выбором данных и результатов выполненных тестов, которые будут отправлены в установленные дни по системе удаленного мониторинга на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личный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аккаунт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 xml:space="preserve"> лечащего врача.</w:t>
            </w:r>
          </w:p>
          <w:p w:rsidR="0067443F" w:rsidRPr="00405581" w:rsidRDefault="00405581" w:rsidP="00405581">
            <w:pPr>
              <w:ind w:left="131"/>
              <w:jc w:val="both"/>
              <w:rPr>
                <w:rFonts w:ascii="Times New Roman" w:hAnsi="Times New Roman" w:cs="Times New Roman"/>
              </w:rPr>
            </w:pPr>
            <w:r w:rsidRPr="00405581">
              <w:rPr>
                <w:rFonts w:ascii="Times New Roman" w:hAnsi="Times New Roman" w:cs="Times New Roman"/>
                <w:color w:val="000000"/>
              </w:rPr>
              <w:t xml:space="preserve">Расчетный срок службы ИКД: не менее 7.87 лет с учётом: разрядов максимальной энергии (40 Дж) два раза в год; с 15% стимуляцией ПП, с 100% стимуляцией ПЖ/ЛЖ с базовой частотой 60 </w:t>
            </w:r>
            <w:proofErr w:type="spellStart"/>
            <w:r w:rsidRPr="00405581">
              <w:rPr>
                <w:rFonts w:ascii="Times New Roman" w:hAnsi="Times New Roman" w:cs="Times New Roman"/>
                <w:color w:val="000000"/>
              </w:rPr>
              <w:t>имп</w:t>
            </w:r>
            <w:proofErr w:type="spellEnd"/>
            <w:r w:rsidRPr="00405581">
              <w:rPr>
                <w:rFonts w:ascii="Times New Roman" w:hAnsi="Times New Roman" w:cs="Times New Roman"/>
                <w:color w:val="000000"/>
              </w:rPr>
              <w:t>/мин, амплитудой не менее 2.5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, длительностью импульса не менее 0.4 мс; </w:t>
            </w:r>
            <w:proofErr w:type="gramStart"/>
            <w:r w:rsidRPr="00405581">
              <w:rPr>
                <w:rFonts w:ascii="Times New Roman" w:hAnsi="Times New Roman" w:cs="Times New Roman"/>
                <w:color w:val="000000"/>
              </w:rPr>
              <w:t>сопротивлении</w:t>
            </w:r>
            <w:proofErr w:type="gramEnd"/>
            <w:r w:rsidRPr="00405581">
              <w:rPr>
                <w:rFonts w:ascii="Times New Roman" w:hAnsi="Times New Roman" w:cs="Times New Roman"/>
                <w:color w:val="000000"/>
              </w:rPr>
              <w:t xml:space="preserve"> на электродах не более 500 Ом, включенными функциями диагностики, ежедневной передаче данных по системе удалённого мониторинга и включенной записью ВЭГМ. Толщина не более 11 мм. Масса не более 83 г. Объем не более 34 см</w:t>
            </w:r>
            <w:r w:rsidRPr="00405581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40558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7443F" w:rsidRPr="00405581" w:rsidRDefault="00733FD7" w:rsidP="00405581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shd w:val="clear" w:color="auto" w:fill="auto"/>
          </w:tcPr>
          <w:p w:rsidR="0067443F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05581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7443F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</w:rPr>
              <w:t>3 020 555,0</w:t>
            </w:r>
          </w:p>
        </w:tc>
        <w:tc>
          <w:tcPr>
            <w:tcW w:w="1560" w:type="dxa"/>
            <w:shd w:val="clear" w:color="auto" w:fill="auto"/>
          </w:tcPr>
          <w:p w:rsidR="0067443F" w:rsidRPr="00405581" w:rsidRDefault="00405581" w:rsidP="004055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5581">
              <w:rPr>
                <w:rFonts w:ascii="Times New Roman" w:hAnsi="Times New Roman" w:cs="Times New Roman"/>
              </w:rPr>
              <w:t>3 020 555,0</w:t>
            </w:r>
          </w:p>
        </w:tc>
      </w:tr>
      <w:tr w:rsidR="00891059" w:rsidRPr="00EC64E6" w:rsidTr="00301C1F">
        <w:tc>
          <w:tcPr>
            <w:tcW w:w="457" w:type="dxa"/>
          </w:tcPr>
          <w:p w:rsidR="00891059" w:rsidRPr="0067443F" w:rsidRDefault="00891059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</w:tcPr>
          <w:p w:rsidR="00891059" w:rsidRPr="0067443F" w:rsidRDefault="00774A41" w:rsidP="00301C1F">
            <w:pPr>
              <w:rPr>
                <w:rFonts w:ascii="Times New Roman" w:hAnsi="Times New Roman" w:cs="Times New Roman"/>
              </w:rPr>
            </w:pPr>
            <w:r w:rsidRPr="006744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784" w:type="dxa"/>
          </w:tcPr>
          <w:p w:rsidR="00891059" w:rsidRPr="0067443F" w:rsidRDefault="00891059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059" w:rsidRPr="0067443F" w:rsidRDefault="00891059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67443F" w:rsidRDefault="00891059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1059" w:rsidRPr="0067443F" w:rsidRDefault="00891059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3B3C" w:rsidRPr="0067443F" w:rsidRDefault="00405581" w:rsidP="00301C1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1E65">
              <w:rPr>
                <w:rFonts w:ascii="Times New Roman" w:hAnsi="Times New Roman" w:cs="Times New Roman"/>
                <w:b/>
              </w:rPr>
              <w:t>3 020 555,0</w:t>
            </w:r>
            <w:r w:rsidR="00911E65">
              <w:rPr>
                <w:rFonts w:ascii="Times New Roman" w:hAnsi="Times New Roman" w:cs="Times New Roman"/>
              </w:rPr>
              <w:t xml:space="preserve"> </w:t>
            </w:r>
            <w:r w:rsidR="00A3643E" w:rsidRPr="0067443F">
              <w:rPr>
                <w:rFonts w:ascii="Times New Roman" w:hAnsi="Times New Roman" w:cs="Times New Roman"/>
                <w:b/>
              </w:rPr>
              <w:t>т</w:t>
            </w:r>
          </w:p>
        </w:tc>
      </w:tr>
    </w:tbl>
    <w:p w:rsidR="00891059" w:rsidRDefault="00891059" w:rsidP="00891059">
      <w:pPr>
        <w:pStyle w:val="pj"/>
      </w:pPr>
    </w:p>
    <w:p w:rsidR="002427B0" w:rsidRDefault="002427B0" w:rsidP="002427B0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4D7CAC">
        <w:rPr>
          <w:rFonts w:eastAsia="Times New Roman"/>
          <w:color w:val="auto"/>
        </w:rPr>
        <w:t xml:space="preserve">в течение </w:t>
      </w:r>
      <w:r w:rsidR="00911E65">
        <w:rPr>
          <w:rFonts w:eastAsia="Times New Roman"/>
          <w:color w:val="auto"/>
        </w:rPr>
        <w:t>5</w:t>
      </w:r>
      <w:r w:rsidRPr="004D7CAC">
        <w:rPr>
          <w:rFonts w:eastAsia="Times New Roman"/>
          <w:color w:val="auto"/>
        </w:rPr>
        <w:t xml:space="preserve">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2427B0" w:rsidRPr="006F5846" w:rsidRDefault="002427B0" w:rsidP="002427B0">
      <w:pPr>
        <w:pStyle w:val="pj"/>
        <w:rPr>
          <w:color w:val="auto"/>
        </w:rPr>
      </w:pPr>
    </w:p>
    <w:p w:rsidR="002427B0" w:rsidRPr="006F5846" w:rsidRDefault="002427B0" w:rsidP="002427B0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013C79">
        <w:rPr>
          <w:color w:val="auto"/>
        </w:rPr>
        <w:t>: 040000</w:t>
      </w:r>
      <w:r w:rsidRPr="00013C79">
        <w:rPr>
          <w:b/>
          <w:color w:val="auto"/>
        </w:rPr>
        <w:t xml:space="preserve">, </w:t>
      </w:r>
      <w:r w:rsidRPr="00013C79">
        <w:rPr>
          <w:b/>
          <w:color w:val="auto"/>
          <w:shd w:val="clear" w:color="auto" w:fill="FFFFFF"/>
        </w:rPr>
        <w:t xml:space="preserve">область </w:t>
      </w:r>
      <w:proofErr w:type="spellStart"/>
      <w:r w:rsidRPr="00013C79">
        <w:rPr>
          <w:b/>
          <w:color w:val="auto"/>
          <w:shd w:val="clear" w:color="auto" w:fill="FFFFFF"/>
        </w:rPr>
        <w:t>Жетісу</w:t>
      </w:r>
      <w:proofErr w:type="spellEnd"/>
      <w:r w:rsidRPr="00013C79">
        <w:rPr>
          <w:b/>
          <w:color w:val="auto"/>
        </w:rPr>
        <w:t xml:space="preserve">,                        г. </w:t>
      </w:r>
      <w:proofErr w:type="spellStart"/>
      <w:r w:rsidRPr="00013C79">
        <w:rPr>
          <w:b/>
          <w:color w:val="auto"/>
        </w:rPr>
        <w:t>Талдыкорган</w:t>
      </w:r>
      <w:proofErr w:type="spellEnd"/>
      <w:r w:rsidRPr="00013C79">
        <w:rPr>
          <w:b/>
          <w:color w:val="auto"/>
        </w:rPr>
        <w:t xml:space="preserve">, ул. </w:t>
      </w:r>
      <w:proofErr w:type="spellStart"/>
      <w:r w:rsidRPr="00013C79">
        <w:rPr>
          <w:b/>
          <w:color w:val="auto"/>
        </w:rPr>
        <w:t>Каблиса</w:t>
      </w:r>
      <w:proofErr w:type="spellEnd"/>
      <w:r w:rsidRPr="00013C79">
        <w:rPr>
          <w:b/>
          <w:color w:val="auto"/>
        </w:rPr>
        <w:t xml:space="preserve"> </w:t>
      </w:r>
      <w:proofErr w:type="spellStart"/>
      <w:r w:rsidRPr="00013C79">
        <w:rPr>
          <w:b/>
          <w:color w:val="auto"/>
        </w:rPr>
        <w:t>Жырау</w:t>
      </w:r>
      <w:proofErr w:type="spellEnd"/>
      <w:r w:rsidRPr="00013C79">
        <w:rPr>
          <w:b/>
          <w:color w:val="auto"/>
        </w:rPr>
        <w:t xml:space="preserve"> 69А, </w:t>
      </w:r>
      <w:r w:rsidRPr="00013C79">
        <w:rPr>
          <w:b/>
          <w:bCs/>
          <w:color w:val="auto"/>
        </w:rPr>
        <w:t>кабинет №108.</w:t>
      </w:r>
      <w:r w:rsidRPr="00013C79">
        <w:rPr>
          <w:bCs/>
          <w:color w:val="auto"/>
        </w:rPr>
        <w:t xml:space="preserve"> </w:t>
      </w:r>
      <w:r w:rsidRPr="00013C79">
        <w:rPr>
          <w:color w:val="auto"/>
        </w:rPr>
        <w:t xml:space="preserve">Окончательный срок подачи ценовых предложений: до 09 часов 00 минут  </w:t>
      </w:r>
      <w:bookmarkStart w:id="0" w:name="_Hlk83801019"/>
      <w:r w:rsidRPr="00013C79">
        <w:rPr>
          <w:color w:val="auto"/>
        </w:rPr>
        <w:t>«</w:t>
      </w:r>
      <w:r w:rsidR="00405581">
        <w:rPr>
          <w:color w:val="auto"/>
        </w:rPr>
        <w:t>25</w:t>
      </w:r>
      <w:r w:rsidRPr="00013C79">
        <w:rPr>
          <w:color w:val="auto"/>
        </w:rPr>
        <w:t xml:space="preserve">» </w:t>
      </w:r>
      <w:bookmarkEnd w:id="0"/>
      <w:r w:rsidR="00405581">
        <w:rPr>
          <w:color w:val="auto"/>
        </w:rPr>
        <w:t>декабря</w:t>
      </w:r>
      <w:r w:rsidRPr="00013C79">
        <w:rPr>
          <w:color w:val="auto"/>
        </w:rPr>
        <w:t xml:space="preserve">  2024 года  включительно. Конверты с ценовыми предложениями принимаются с 8  часов 00  минут до 17 часов 00 минут</w:t>
      </w:r>
      <w:r w:rsidRPr="006F5846">
        <w:rPr>
          <w:color w:val="auto"/>
        </w:rPr>
        <w:t xml:space="preserve">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2427B0" w:rsidRPr="006F5846" w:rsidRDefault="002427B0" w:rsidP="002427B0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Ескельды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224,    в 11</w:t>
      </w:r>
      <w:r w:rsidRPr="006F5846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00 </w:t>
      </w:r>
      <w:r w:rsidRPr="006F5846">
        <w:rPr>
          <w:rFonts w:ascii="Times New Roman" w:hAnsi="Times New Roman" w:cs="Times New Roman"/>
        </w:rPr>
        <w:t xml:space="preserve">минут </w:t>
      </w:r>
      <w:r w:rsidR="00013C79">
        <w:rPr>
          <w:rFonts w:ascii="Times New Roman" w:hAnsi="Times New Roman" w:cs="Times New Roman"/>
        </w:rPr>
        <w:t>«</w:t>
      </w:r>
      <w:r w:rsidR="00405581">
        <w:rPr>
          <w:rFonts w:ascii="Times New Roman" w:hAnsi="Times New Roman" w:cs="Times New Roman"/>
        </w:rPr>
        <w:t>25</w:t>
      </w:r>
      <w:r w:rsidRPr="006F5846">
        <w:rPr>
          <w:rFonts w:ascii="Times New Roman" w:hAnsi="Times New Roman" w:cs="Times New Roman"/>
        </w:rPr>
        <w:t xml:space="preserve">» </w:t>
      </w:r>
      <w:r w:rsidR="00405581">
        <w:rPr>
          <w:rFonts w:ascii="Times New Roman" w:hAnsi="Times New Roman" w:cs="Times New Roman"/>
        </w:rPr>
        <w:t>декабря</w:t>
      </w:r>
      <w:r w:rsidR="00301C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t xml:space="preserve"> </w:t>
      </w:r>
    </w:p>
    <w:p w:rsidR="002427B0" w:rsidRPr="006F5846" w:rsidRDefault="002427B0" w:rsidP="002427B0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2427B0" w:rsidRPr="00D07647" w:rsidRDefault="002427B0" w:rsidP="002427B0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 xml:space="preserve">хстан от 7 июня 2023 года </w:t>
      </w:r>
      <w:r w:rsidR="00013C79">
        <w:rPr>
          <w:rStyle w:val="s1"/>
          <w:b w:val="0"/>
          <w:i/>
        </w:rPr>
        <w:t xml:space="preserve"> </w:t>
      </w:r>
      <w:r>
        <w:rPr>
          <w:rStyle w:val="s1"/>
          <w:b w:val="0"/>
          <w:i/>
        </w:rPr>
        <w:t xml:space="preserve">№ 110 </w:t>
      </w:r>
      <w:r w:rsidRPr="00CD4D50">
        <w:rPr>
          <w:rStyle w:val="s1"/>
          <w:b w:val="0"/>
          <w:i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</w:t>
      </w:r>
      <w:r w:rsidRPr="00CD4D50">
        <w:rPr>
          <w:rStyle w:val="s1"/>
          <w:b w:val="0"/>
          <w:i/>
        </w:rPr>
        <w:lastRenderedPageBreak/>
        <w:t>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2427B0" w:rsidRPr="00B64F7C" w:rsidRDefault="002427B0" w:rsidP="002427B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  <w:r w:rsidRPr="00EC64E6">
        <w:rPr>
          <w:color w:val="000000" w:themeColor="text1"/>
        </w:rPr>
        <w:t xml:space="preserve">8 (7282) </w:t>
      </w:r>
      <w:r>
        <w:rPr>
          <w:color w:val="000000" w:themeColor="text1"/>
        </w:rPr>
        <w:t xml:space="preserve">41-87-03, </w:t>
      </w:r>
      <w:r w:rsidRPr="00EC64E6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Pr="008D702C">
        <w:rPr>
          <w:color w:val="000000" w:themeColor="text1"/>
        </w:rPr>
        <w:t xml:space="preserve"> 700 446 2152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13C79"/>
    <w:rsid w:val="00022BD1"/>
    <w:rsid w:val="000335CA"/>
    <w:rsid w:val="000363AD"/>
    <w:rsid w:val="00044A4B"/>
    <w:rsid w:val="0005442E"/>
    <w:rsid w:val="00075907"/>
    <w:rsid w:val="00077186"/>
    <w:rsid w:val="0008321D"/>
    <w:rsid w:val="001121D0"/>
    <w:rsid w:val="00151FBF"/>
    <w:rsid w:val="001E241A"/>
    <w:rsid w:val="002427B0"/>
    <w:rsid w:val="00262932"/>
    <w:rsid w:val="002A48AC"/>
    <w:rsid w:val="002E5F71"/>
    <w:rsid w:val="002E77FF"/>
    <w:rsid w:val="00301C1F"/>
    <w:rsid w:val="00323143"/>
    <w:rsid w:val="00327F4D"/>
    <w:rsid w:val="0033215C"/>
    <w:rsid w:val="00342187"/>
    <w:rsid w:val="00357773"/>
    <w:rsid w:val="003627B6"/>
    <w:rsid w:val="00376296"/>
    <w:rsid w:val="00385707"/>
    <w:rsid w:val="00397002"/>
    <w:rsid w:val="003C2098"/>
    <w:rsid w:val="00403E8D"/>
    <w:rsid w:val="00405581"/>
    <w:rsid w:val="00410BA0"/>
    <w:rsid w:val="004B1979"/>
    <w:rsid w:val="004B5F36"/>
    <w:rsid w:val="00510EBD"/>
    <w:rsid w:val="00544542"/>
    <w:rsid w:val="00551BD8"/>
    <w:rsid w:val="0055496B"/>
    <w:rsid w:val="00590CC0"/>
    <w:rsid w:val="005B3D78"/>
    <w:rsid w:val="005B4FFA"/>
    <w:rsid w:val="005B779D"/>
    <w:rsid w:val="00616EE8"/>
    <w:rsid w:val="00623515"/>
    <w:rsid w:val="006260FB"/>
    <w:rsid w:val="0067443F"/>
    <w:rsid w:val="00677C3C"/>
    <w:rsid w:val="006C6E6F"/>
    <w:rsid w:val="006E4313"/>
    <w:rsid w:val="006E6E02"/>
    <w:rsid w:val="006F5846"/>
    <w:rsid w:val="006F600E"/>
    <w:rsid w:val="00733FD7"/>
    <w:rsid w:val="00771039"/>
    <w:rsid w:val="00774A41"/>
    <w:rsid w:val="00793F0E"/>
    <w:rsid w:val="007956D3"/>
    <w:rsid w:val="007A3B89"/>
    <w:rsid w:val="007D26D4"/>
    <w:rsid w:val="007D3B3C"/>
    <w:rsid w:val="007D7CFC"/>
    <w:rsid w:val="007E6719"/>
    <w:rsid w:val="007F0DB2"/>
    <w:rsid w:val="007F5E3F"/>
    <w:rsid w:val="00813E18"/>
    <w:rsid w:val="008168C9"/>
    <w:rsid w:val="008246C8"/>
    <w:rsid w:val="00874A41"/>
    <w:rsid w:val="00891059"/>
    <w:rsid w:val="008A14B8"/>
    <w:rsid w:val="008C13EB"/>
    <w:rsid w:val="008D7441"/>
    <w:rsid w:val="008F26A3"/>
    <w:rsid w:val="00911E65"/>
    <w:rsid w:val="00931411"/>
    <w:rsid w:val="0096675A"/>
    <w:rsid w:val="00980B59"/>
    <w:rsid w:val="00980FB9"/>
    <w:rsid w:val="00A011A3"/>
    <w:rsid w:val="00A23CEE"/>
    <w:rsid w:val="00A26774"/>
    <w:rsid w:val="00A3643E"/>
    <w:rsid w:val="00A4347F"/>
    <w:rsid w:val="00A611BC"/>
    <w:rsid w:val="00A61D69"/>
    <w:rsid w:val="00A7030C"/>
    <w:rsid w:val="00AC3A3E"/>
    <w:rsid w:val="00B34CB1"/>
    <w:rsid w:val="00B72496"/>
    <w:rsid w:val="00B9461B"/>
    <w:rsid w:val="00B9505D"/>
    <w:rsid w:val="00BA232A"/>
    <w:rsid w:val="00C015AB"/>
    <w:rsid w:val="00C241A8"/>
    <w:rsid w:val="00C34C96"/>
    <w:rsid w:val="00C538BB"/>
    <w:rsid w:val="00C7756F"/>
    <w:rsid w:val="00C845C8"/>
    <w:rsid w:val="00C879A4"/>
    <w:rsid w:val="00C907E7"/>
    <w:rsid w:val="00CB186D"/>
    <w:rsid w:val="00CD4B3D"/>
    <w:rsid w:val="00CF3BD4"/>
    <w:rsid w:val="00D23AC6"/>
    <w:rsid w:val="00D32BFC"/>
    <w:rsid w:val="00D33AFD"/>
    <w:rsid w:val="00DA4F79"/>
    <w:rsid w:val="00DA4FC7"/>
    <w:rsid w:val="00DB2B53"/>
    <w:rsid w:val="00DB3F4B"/>
    <w:rsid w:val="00DF3FAD"/>
    <w:rsid w:val="00E2576B"/>
    <w:rsid w:val="00E35EDD"/>
    <w:rsid w:val="00E54544"/>
    <w:rsid w:val="00EB6372"/>
    <w:rsid w:val="00EE7894"/>
    <w:rsid w:val="00F008E4"/>
    <w:rsid w:val="00F23322"/>
    <w:rsid w:val="00F35FC3"/>
    <w:rsid w:val="00F6712F"/>
    <w:rsid w:val="00F827AD"/>
    <w:rsid w:val="00F872A4"/>
    <w:rsid w:val="00F91200"/>
    <w:rsid w:val="00F94957"/>
    <w:rsid w:val="00FB242E"/>
    <w:rsid w:val="00FC7C34"/>
    <w:rsid w:val="00FD2FF4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58</cp:revision>
  <cp:lastPrinted>2024-09-12T11:09:00Z</cp:lastPrinted>
  <dcterms:created xsi:type="dcterms:W3CDTF">2022-11-30T05:42:00Z</dcterms:created>
  <dcterms:modified xsi:type="dcterms:W3CDTF">2024-12-19T06:08:00Z</dcterms:modified>
</cp:coreProperties>
</file>